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07F11" w14:textId="2A039567" w:rsidR="00170EE5" w:rsidRPr="0091146D" w:rsidRDefault="00A5596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1146D">
        <w:rPr>
          <w:rFonts w:ascii="Arial" w:hAnsi="Arial" w:cs="Arial"/>
          <w:b/>
          <w:sz w:val="20"/>
          <w:szCs w:val="20"/>
        </w:rPr>
        <w:t xml:space="preserve"> </w:t>
      </w:r>
      <w:r w:rsidR="00170EE5" w:rsidRPr="0091146D">
        <w:rPr>
          <w:rFonts w:ascii="Arial" w:hAnsi="Arial" w:cs="Arial"/>
          <w:b/>
          <w:sz w:val="20"/>
          <w:szCs w:val="20"/>
        </w:rPr>
        <w:t xml:space="preserve">Organisation </w:t>
      </w:r>
    </w:p>
    <w:p w14:paraId="06F7A617" w14:textId="77777777" w:rsidR="00170EE5" w:rsidRPr="0091146D" w:rsidRDefault="00170EE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1146D">
        <w:rPr>
          <w:rFonts w:ascii="Arial" w:hAnsi="Arial" w:cs="Arial"/>
          <w:b/>
          <w:sz w:val="20"/>
          <w:szCs w:val="20"/>
        </w:rPr>
        <w:t>Fees Policy</w:t>
      </w:r>
    </w:p>
    <w:p w14:paraId="65AB7E05" w14:textId="77777777" w:rsidR="00170EE5" w:rsidRPr="0091146D" w:rsidRDefault="00170EE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F0E7275" w14:textId="77777777" w:rsidR="00170EE5" w:rsidRPr="0091146D" w:rsidRDefault="00170EE5">
      <w:pPr>
        <w:rPr>
          <w:rFonts w:ascii="Arial" w:hAnsi="Arial" w:cs="Arial"/>
          <w:b/>
          <w:sz w:val="20"/>
          <w:szCs w:val="20"/>
        </w:rPr>
      </w:pPr>
      <w:r w:rsidRPr="0091146D">
        <w:rPr>
          <w:rFonts w:ascii="Arial" w:hAnsi="Arial" w:cs="Arial"/>
          <w:b/>
          <w:sz w:val="20"/>
          <w:szCs w:val="20"/>
        </w:rPr>
        <w:t xml:space="preserve">Policy Statement </w:t>
      </w:r>
    </w:p>
    <w:p w14:paraId="684A013D" w14:textId="77777777" w:rsidR="00170EE5" w:rsidRPr="0091146D" w:rsidRDefault="00170EE5">
      <w:pPr>
        <w:rPr>
          <w:rFonts w:ascii="Arial" w:hAnsi="Arial" w:cs="Arial"/>
          <w:sz w:val="20"/>
          <w:szCs w:val="20"/>
        </w:rPr>
      </w:pPr>
      <w:r w:rsidRPr="0091146D">
        <w:rPr>
          <w:rFonts w:ascii="Arial" w:hAnsi="Arial" w:cs="Arial"/>
          <w:sz w:val="20"/>
          <w:szCs w:val="20"/>
        </w:rPr>
        <w:t xml:space="preserve">It is our intention to provide high quality childcare and education to children and families from all sections of the local community. </w:t>
      </w:r>
    </w:p>
    <w:p w14:paraId="7A1E8269" w14:textId="36487BAF" w:rsidR="00170EE5" w:rsidRPr="0091146D" w:rsidRDefault="00170EE5">
      <w:pPr>
        <w:rPr>
          <w:rFonts w:ascii="Arial" w:hAnsi="Arial" w:cs="Arial"/>
          <w:sz w:val="20"/>
          <w:szCs w:val="20"/>
        </w:rPr>
      </w:pPr>
      <w:r w:rsidRPr="0091146D">
        <w:rPr>
          <w:rFonts w:ascii="Arial" w:hAnsi="Arial" w:cs="Arial"/>
          <w:sz w:val="20"/>
          <w:szCs w:val="20"/>
        </w:rPr>
        <w:t xml:space="preserve">Fees </w:t>
      </w:r>
      <w:r w:rsidR="00B97E60" w:rsidRPr="00143763">
        <w:rPr>
          <w:rFonts w:ascii="Arial" w:hAnsi="Arial" w:cs="Arial"/>
          <w:sz w:val="20"/>
          <w:szCs w:val="20"/>
        </w:rPr>
        <w:t xml:space="preserve">(including general extra and consumables charges) </w:t>
      </w:r>
      <w:r w:rsidRPr="0091146D">
        <w:rPr>
          <w:rFonts w:ascii="Arial" w:hAnsi="Arial" w:cs="Arial"/>
          <w:sz w:val="20"/>
          <w:szCs w:val="20"/>
        </w:rPr>
        <w:t>cover: staffing, internal activities; resources</w:t>
      </w:r>
      <w:r w:rsidRPr="00143763">
        <w:rPr>
          <w:rFonts w:ascii="Arial" w:hAnsi="Arial" w:cs="Arial"/>
          <w:sz w:val="20"/>
          <w:szCs w:val="20"/>
        </w:rPr>
        <w:t xml:space="preserve">, </w:t>
      </w:r>
      <w:r w:rsidR="00B97E60" w:rsidRPr="00143763">
        <w:rPr>
          <w:rFonts w:ascii="Arial" w:hAnsi="Arial" w:cs="Arial"/>
          <w:sz w:val="20"/>
          <w:szCs w:val="20"/>
        </w:rPr>
        <w:t xml:space="preserve">e.g. </w:t>
      </w:r>
      <w:r w:rsidRPr="0091146D">
        <w:rPr>
          <w:rFonts w:ascii="Arial" w:hAnsi="Arial" w:cs="Arial"/>
          <w:sz w:val="20"/>
          <w:szCs w:val="20"/>
        </w:rPr>
        <w:t>paint, paper, glue etc; renewing equipment; refreshments and snacks; rent and utilities.</w:t>
      </w:r>
    </w:p>
    <w:p w14:paraId="7F7DDCA5" w14:textId="77777777" w:rsidR="00170EE5" w:rsidRPr="0091146D" w:rsidRDefault="00170EE5">
      <w:pPr>
        <w:rPr>
          <w:rFonts w:ascii="Arial" w:hAnsi="Arial" w:cs="Arial"/>
          <w:sz w:val="20"/>
          <w:szCs w:val="20"/>
        </w:rPr>
      </w:pPr>
      <w:r w:rsidRPr="0091146D">
        <w:rPr>
          <w:rFonts w:ascii="Arial" w:hAnsi="Arial" w:cs="Arial"/>
          <w:sz w:val="20"/>
          <w:szCs w:val="20"/>
        </w:rPr>
        <w:t xml:space="preserve"> </w:t>
      </w:r>
    </w:p>
    <w:p w14:paraId="1A86925E" w14:textId="77777777" w:rsidR="00170EE5" w:rsidRPr="0091146D" w:rsidRDefault="00170EE5">
      <w:pPr>
        <w:rPr>
          <w:rFonts w:ascii="Arial" w:hAnsi="Arial" w:cs="Arial"/>
          <w:b/>
          <w:sz w:val="20"/>
          <w:szCs w:val="20"/>
        </w:rPr>
      </w:pPr>
      <w:r w:rsidRPr="0091146D">
        <w:rPr>
          <w:rFonts w:ascii="Arial" w:hAnsi="Arial" w:cs="Arial"/>
          <w:b/>
          <w:sz w:val="20"/>
          <w:szCs w:val="20"/>
        </w:rPr>
        <w:t xml:space="preserve">Procedures </w:t>
      </w:r>
    </w:p>
    <w:p w14:paraId="37A9CD55" w14:textId="77777777" w:rsidR="00170EE5" w:rsidRPr="0091146D" w:rsidRDefault="00170EE5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1146D">
        <w:rPr>
          <w:rFonts w:ascii="Arial" w:hAnsi="Arial" w:cs="Arial"/>
          <w:sz w:val="20"/>
          <w:szCs w:val="20"/>
        </w:rPr>
        <w:t xml:space="preserve">Our fees are set at differential rates for babies, toddlers and children over three </w:t>
      </w:r>
      <w:proofErr w:type="gramStart"/>
      <w:r w:rsidRPr="0091146D">
        <w:rPr>
          <w:rFonts w:ascii="Arial" w:hAnsi="Arial" w:cs="Arial"/>
          <w:sz w:val="20"/>
          <w:szCs w:val="20"/>
        </w:rPr>
        <w:t>in order to</w:t>
      </w:r>
      <w:proofErr w:type="gramEnd"/>
      <w:r w:rsidRPr="0091146D">
        <w:rPr>
          <w:rFonts w:ascii="Arial" w:hAnsi="Arial" w:cs="Arial"/>
          <w:sz w:val="20"/>
          <w:szCs w:val="20"/>
        </w:rPr>
        <w:t xml:space="preserve"> reflect variation in the costs of providing care for these different age groups. </w:t>
      </w:r>
    </w:p>
    <w:p w14:paraId="0836FDAA" w14:textId="2D78D7DE" w:rsidR="00170EE5" w:rsidRPr="0091146D" w:rsidRDefault="00170EE5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1146D">
        <w:rPr>
          <w:rFonts w:ascii="Arial" w:hAnsi="Arial" w:cs="Arial"/>
          <w:sz w:val="20"/>
          <w:szCs w:val="20"/>
        </w:rPr>
        <w:t>A registration fee of £50.00 maximum will be required for all children when enrolling</w:t>
      </w:r>
      <w:r w:rsidR="00B97E60">
        <w:rPr>
          <w:rFonts w:ascii="Arial" w:hAnsi="Arial" w:cs="Arial"/>
          <w:sz w:val="20"/>
          <w:szCs w:val="20"/>
        </w:rPr>
        <w:t xml:space="preserve"> </w:t>
      </w:r>
      <w:r w:rsidR="00B97E60" w:rsidRPr="00143763">
        <w:rPr>
          <w:rFonts w:ascii="Arial" w:hAnsi="Arial" w:cs="Arial"/>
          <w:sz w:val="20"/>
          <w:szCs w:val="20"/>
        </w:rPr>
        <w:t xml:space="preserve">(unless </w:t>
      </w:r>
      <w:r w:rsidR="00B97E60" w:rsidRPr="00143763">
        <w:rPr>
          <w:rFonts w:ascii="Arial" w:hAnsi="Arial" w:cs="Arial"/>
          <w:i/>
          <w:iCs/>
          <w:sz w:val="20"/>
          <w:szCs w:val="20"/>
        </w:rPr>
        <w:t xml:space="preserve">only </w:t>
      </w:r>
      <w:r w:rsidR="00B97E60" w:rsidRPr="00143763">
        <w:rPr>
          <w:rFonts w:ascii="Arial" w:hAnsi="Arial" w:cs="Arial"/>
          <w:sz w:val="20"/>
          <w:szCs w:val="20"/>
        </w:rPr>
        <w:t>accessing funded hours)</w:t>
      </w:r>
      <w:r w:rsidRPr="00143763">
        <w:rPr>
          <w:rFonts w:ascii="Arial" w:hAnsi="Arial" w:cs="Arial"/>
          <w:sz w:val="20"/>
          <w:szCs w:val="20"/>
        </w:rPr>
        <w:t xml:space="preserve">. </w:t>
      </w:r>
    </w:p>
    <w:p w14:paraId="40AE16AF" w14:textId="75306327" w:rsidR="00170EE5" w:rsidRPr="0091146D" w:rsidRDefault="00170EE5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1146D">
        <w:rPr>
          <w:rFonts w:ascii="Arial" w:hAnsi="Arial" w:cs="Arial"/>
          <w:sz w:val="20"/>
          <w:szCs w:val="20"/>
        </w:rPr>
        <w:t xml:space="preserve">We accept childcare vouchers </w:t>
      </w:r>
      <w:proofErr w:type="gramStart"/>
      <w:r w:rsidRPr="0091146D">
        <w:rPr>
          <w:rFonts w:ascii="Arial" w:hAnsi="Arial" w:cs="Arial"/>
          <w:sz w:val="20"/>
          <w:szCs w:val="20"/>
        </w:rPr>
        <w:t>and also</w:t>
      </w:r>
      <w:proofErr w:type="gramEnd"/>
      <w:r w:rsidRPr="0091146D">
        <w:rPr>
          <w:rFonts w:ascii="Arial" w:hAnsi="Arial" w:cs="Arial"/>
          <w:sz w:val="20"/>
          <w:szCs w:val="20"/>
        </w:rPr>
        <w:t xml:space="preserve"> </w:t>
      </w:r>
      <w:r w:rsidR="00A40524" w:rsidRPr="0091146D">
        <w:rPr>
          <w:rFonts w:ascii="Arial" w:hAnsi="Arial" w:cs="Arial"/>
          <w:sz w:val="20"/>
          <w:szCs w:val="20"/>
        </w:rPr>
        <w:t xml:space="preserve">payments via the </w:t>
      </w:r>
      <w:proofErr w:type="gramStart"/>
      <w:r w:rsidR="00A40524" w:rsidRPr="0091146D">
        <w:rPr>
          <w:rFonts w:ascii="Arial" w:hAnsi="Arial" w:cs="Arial"/>
          <w:sz w:val="20"/>
          <w:szCs w:val="20"/>
        </w:rPr>
        <w:t>Tax Free</w:t>
      </w:r>
      <w:proofErr w:type="gramEnd"/>
      <w:r w:rsidR="00A40524" w:rsidRPr="0091146D">
        <w:rPr>
          <w:rFonts w:ascii="Arial" w:hAnsi="Arial" w:cs="Arial"/>
          <w:sz w:val="20"/>
          <w:szCs w:val="20"/>
        </w:rPr>
        <w:t xml:space="preserve"> Childcare scheme</w:t>
      </w:r>
    </w:p>
    <w:p w14:paraId="71A90CB1" w14:textId="326B25DD" w:rsidR="00170EE5" w:rsidRPr="0091146D" w:rsidRDefault="007E211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9 month *</w:t>
      </w:r>
      <w:r w:rsidR="00F4514B" w:rsidRPr="0091146D">
        <w:rPr>
          <w:rFonts w:ascii="Arial" w:hAnsi="Arial" w:cs="Arial"/>
          <w:sz w:val="20"/>
          <w:szCs w:val="20"/>
        </w:rPr>
        <w:t>Two</w:t>
      </w:r>
      <w:proofErr w:type="gramStart"/>
      <w:r w:rsidR="00F4514B" w:rsidRPr="0091146D">
        <w:rPr>
          <w:rFonts w:ascii="Arial" w:hAnsi="Arial" w:cs="Arial"/>
          <w:sz w:val="20"/>
          <w:szCs w:val="20"/>
        </w:rPr>
        <w:t>*,t</w:t>
      </w:r>
      <w:r w:rsidR="00170EE5" w:rsidRPr="0091146D">
        <w:rPr>
          <w:rFonts w:ascii="Arial" w:hAnsi="Arial" w:cs="Arial"/>
          <w:sz w:val="20"/>
          <w:szCs w:val="20"/>
        </w:rPr>
        <w:t>hree</w:t>
      </w:r>
      <w:proofErr w:type="gramEnd"/>
      <w:r w:rsidR="00170EE5" w:rsidRPr="0091146D">
        <w:rPr>
          <w:rFonts w:ascii="Arial" w:hAnsi="Arial" w:cs="Arial"/>
          <w:sz w:val="20"/>
          <w:szCs w:val="20"/>
        </w:rPr>
        <w:t xml:space="preserve"> and four year olds</w:t>
      </w:r>
      <w:r w:rsidR="00AE0AB5" w:rsidRPr="0091146D">
        <w:rPr>
          <w:rFonts w:ascii="Arial" w:hAnsi="Arial" w:cs="Arial"/>
          <w:sz w:val="20"/>
          <w:szCs w:val="20"/>
        </w:rPr>
        <w:t xml:space="preserve"> are eligible for the FFE funding </w:t>
      </w:r>
      <w:r w:rsidR="00170EE5" w:rsidRPr="0091146D">
        <w:rPr>
          <w:rFonts w:ascii="Arial" w:hAnsi="Arial" w:cs="Arial"/>
          <w:sz w:val="20"/>
          <w:szCs w:val="20"/>
        </w:rPr>
        <w:t xml:space="preserve">- please ask for </w:t>
      </w:r>
      <w:proofErr w:type="gramStart"/>
      <w:r w:rsidR="00170EE5" w:rsidRPr="0091146D">
        <w:rPr>
          <w:rFonts w:ascii="Arial" w:hAnsi="Arial" w:cs="Arial"/>
          <w:sz w:val="20"/>
          <w:szCs w:val="20"/>
        </w:rPr>
        <w:t>details.</w:t>
      </w:r>
      <w:r w:rsidR="00F4514B" w:rsidRPr="0091146D">
        <w:rPr>
          <w:rFonts w:ascii="Arial" w:hAnsi="Arial" w:cs="Arial"/>
          <w:sz w:val="20"/>
          <w:szCs w:val="20"/>
        </w:rPr>
        <w:t>*</w:t>
      </w:r>
      <w:proofErr w:type="spellStart"/>
      <w:proofErr w:type="gramEnd"/>
      <w:r w:rsidR="0083272C" w:rsidRPr="0091146D">
        <w:rPr>
          <w:rFonts w:ascii="Arial" w:hAnsi="Arial" w:cs="Arial"/>
          <w:sz w:val="20"/>
          <w:szCs w:val="20"/>
        </w:rPr>
        <w:t>t&amp;cs</w:t>
      </w:r>
      <w:proofErr w:type="spellEnd"/>
      <w:r w:rsidR="00F4514B" w:rsidRPr="0091146D">
        <w:rPr>
          <w:rFonts w:ascii="Arial" w:hAnsi="Arial" w:cs="Arial"/>
          <w:sz w:val="20"/>
          <w:szCs w:val="20"/>
        </w:rPr>
        <w:t xml:space="preserve"> applies</w:t>
      </w:r>
    </w:p>
    <w:p w14:paraId="7D58C953" w14:textId="77777777" w:rsidR="00170EE5" w:rsidRPr="0091146D" w:rsidRDefault="00AE0AB5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1146D">
        <w:rPr>
          <w:rFonts w:ascii="Arial" w:hAnsi="Arial" w:cs="Arial"/>
          <w:sz w:val="20"/>
          <w:szCs w:val="20"/>
        </w:rPr>
        <w:t>F</w:t>
      </w:r>
      <w:r w:rsidR="00170EE5" w:rsidRPr="0091146D">
        <w:rPr>
          <w:rFonts w:ascii="Arial" w:hAnsi="Arial" w:cs="Arial"/>
          <w:sz w:val="20"/>
          <w:szCs w:val="20"/>
        </w:rPr>
        <w:t>ees are payable in cases of absence and there is no reduction for sickness.</w:t>
      </w:r>
    </w:p>
    <w:p w14:paraId="52306C10" w14:textId="77777777" w:rsidR="00170EE5" w:rsidRPr="0091146D" w:rsidRDefault="00170EE5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1146D">
        <w:rPr>
          <w:rFonts w:ascii="Arial" w:hAnsi="Arial" w:cs="Arial"/>
          <w:sz w:val="20"/>
          <w:szCs w:val="20"/>
        </w:rPr>
        <w:t xml:space="preserve">We are open 51 weeks a year, Closing for Christmas. </w:t>
      </w:r>
    </w:p>
    <w:p w14:paraId="26AE85D8" w14:textId="0B8CC286" w:rsidR="00170EE5" w:rsidRPr="0091146D" w:rsidRDefault="00170EE5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1146D">
        <w:rPr>
          <w:rFonts w:ascii="Arial" w:hAnsi="Arial" w:cs="Arial"/>
          <w:sz w:val="20"/>
          <w:szCs w:val="20"/>
        </w:rPr>
        <w:t>If you require a full time (51 week) contract a further two week</w:t>
      </w:r>
      <w:r w:rsidR="00193987" w:rsidRPr="0091146D">
        <w:rPr>
          <w:rFonts w:ascii="Arial" w:hAnsi="Arial" w:cs="Arial"/>
          <w:sz w:val="20"/>
          <w:szCs w:val="20"/>
        </w:rPr>
        <w:t>’</w:t>
      </w:r>
      <w:r w:rsidRPr="0091146D">
        <w:rPr>
          <w:rFonts w:ascii="Arial" w:hAnsi="Arial" w:cs="Arial"/>
          <w:sz w:val="20"/>
          <w:szCs w:val="20"/>
        </w:rPr>
        <w:t xml:space="preserve">s </w:t>
      </w:r>
      <w:proofErr w:type="gramStart"/>
      <w:r w:rsidRPr="0091146D">
        <w:rPr>
          <w:rFonts w:ascii="Arial" w:hAnsi="Arial" w:cs="Arial"/>
          <w:sz w:val="20"/>
          <w:szCs w:val="20"/>
        </w:rPr>
        <w:t>holiday</w:t>
      </w:r>
      <w:proofErr w:type="gramEnd"/>
      <w:r w:rsidRPr="0091146D">
        <w:rPr>
          <w:rFonts w:ascii="Arial" w:hAnsi="Arial" w:cs="Arial"/>
          <w:sz w:val="20"/>
          <w:szCs w:val="20"/>
        </w:rPr>
        <w:t xml:space="preserve"> may be taken at any time, where half fees are payable for part time places and a </w:t>
      </w:r>
      <w:proofErr w:type="gramStart"/>
      <w:r w:rsidRPr="0091146D">
        <w:rPr>
          <w:rFonts w:ascii="Arial" w:hAnsi="Arial" w:cs="Arial"/>
          <w:sz w:val="20"/>
          <w:szCs w:val="20"/>
        </w:rPr>
        <w:t>one day</w:t>
      </w:r>
      <w:proofErr w:type="gramEnd"/>
      <w:r w:rsidRPr="0091146D">
        <w:rPr>
          <w:rFonts w:ascii="Arial" w:hAnsi="Arial" w:cs="Arial"/>
          <w:sz w:val="20"/>
          <w:szCs w:val="20"/>
        </w:rPr>
        <w:t xml:space="preserve"> retainer for full time, with four </w:t>
      </w:r>
      <w:proofErr w:type="spellStart"/>
      <w:r w:rsidRPr="0091146D">
        <w:rPr>
          <w:rFonts w:ascii="Arial" w:hAnsi="Arial" w:cs="Arial"/>
          <w:sz w:val="20"/>
          <w:szCs w:val="20"/>
        </w:rPr>
        <w:t>week</w:t>
      </w:r>
      <w:r w:rsidR="00193987" w:rsidRPr="0091146D">
        <w:rPr>
          <w:rFonts w:ascii="Arial" w:hAnsi="Arial" w:cs="Arial"/>
          <w:sz w:val="20"/>
          <w:szCs w:val="20"/>
        </w:rPr>
        <w:t>’</w:t>
      </w:r>
      <w:r w:rsidRPr="0091146D">
        <w:rPr>
          <w:rFonts w:ascii="Arial" w:hAnsi="Arial" w:cs="Arial"/>
          <w:sz w:val="20"/>
          <w:szCs w:val="20"/>
        </w:rPr>
        <w:t>s notice</w:t>
      </w:r>
      <w:proofErr w:type="spellEnd"/>
      <w:r w:rsidRPr="0091146D">
        <w:rPr>
          <w:rFonts w:ascii="Arial" w:hAnsi="Arial" w:cs="Arial"/>
          <w:sz w:val="20"/>
          <w:szCs w:val="20"/>
        </w:rPr>
        <w:t xml:space="preserve"> being required. However</w:t>
      </w:r>
      <w:r w:rsidR="00FE3C0D">
        <w:rPr>
          <w:rFonts w:ascii="Arial" w:hAnsi="Arial" w:cs="Arial"/>
          <w:sz w:val="20"/>
          <w:szCs w:val="20"/>
        </w:rPr>
        <w:t>,</w:t>
      </w:r>
      <w:r w:rsidRPr="0091146D">
        <w:rPr>
          <w:rFonts w:ascii="Arial" w:hAnsi="Arial" w:cs="Arial"/>
          <w:sz w:val="20"/>
          <w:szCs w:val="20"/>
        </w:rPr>
        <w:t xml:space="preserve"> fees are payable in all cases of absence during any other week </w:t>
      </w:r>
      <w:r w:rsidR="00B97E60">
        <w:rPr>
          <w:rFonts w:ascii="Arial" w:hAnsi="Arial" w:cs="Arial"/>
          <w:sz w:val="20"/>
          <w:szCs w:val="20"/>
        </w:rPr>
        <w:t xml:space="preserve">that </w:t>
      </w:r>
      <w:r w:rsidR="00F4514B" w:rsidRPr="0091146D">
        <w:rPr>
          <w:rFonts w:ascii="Arial" w:hAnsi="Arial" w:cs="Arial"/>
          <w:sz w:val="20"/>
          <w:szCs w:val="20"/>
        </w:rPr>
        <w:t>The Island Day Nursery</w:t>
      </w:r>
      <w:r w:rsidRPr="0091146D">
        <w:rPr>
          <w:rFonts w:ascii="Arial" w:hAnsi="Arial" w:cs="Arial"/>
          <w:sz w:val="20"/>
          <w:szCs w:val="20"/>
        </w:rPr>
        <w:t xml:space="preserve"> is open. </w:t>
      </w:r>
    </w:p>
    <w:p w14:paraId="105175C1" w14:textId="77777777" w:rsidR="00170EE5" w:rsidRPr="0091146D" w:rsidRDefault="00170EE5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1146D">
        <w:rPr>
          <w:rFonts w:ascii="Arial" w:hAnsi="Arial" w:cs="Arial"/>
          <w:sz w:val="20"/>
          <w:szCs w:val="20"/>
        </w:rPr>
        <w:t>All fees must be paid promptly in advance. Fees left unpaid after four weeks may result in a reduction of your child’s hours and eventually will lead to your child’s place being withdrawn.</w:t>
      </w:r>
    </w:p>
    <w:p w14:paraId="201F2F21" w14:textId="77777777" w:rsidR="00170EE5" w:rsidRPr="0091146D" w:rsidRDefault="00170EE5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1146D">
        <w:rPr>
          <w:rFonts w:ascii="Arial" w:hAnsi="Arial" w:cs="Arial"/>
          <w:sz w:val="20"/>
          <w:szCs w:val="20"/>
        </w:rPr>
        <w:t xml:space="preserve">We reserve the right to recoup all outstanding monies owed in fees through the Small Claims Court. </w:t>
      </w:r>
    </w:p>
    <w:p w14:paraId="675FB970" w14:textId="77777777" w:rsidR="00170EE5" w:rsidRPr="0091146D" w:rsidRDefault="00170EE5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1146D">
        <w:rPr>
          <w:rFonts w:ascii="Arial" w:hAnsi="Arial" w:cs="Arial"/>
          <w:sz w:val="20"/>
          <w:szCs w:val="20"/>
        </w:rPr>
        <w:t>Notice to terminate this agreement, and to withdraw your child, must be given in writing one calendar month in advance of the intended date.</w:t>
      </w:r>
    </w:p>
    <w:p w14:paraId="5E59DD38" w14:textId="77777777" w:rsidR="00170EE5" w:rsidRPr="0091146D" w:rsidRDefault="00170EE5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1146D">
        <w:rPr>
          <w:rFonts w:ascii="Arial" w:hAnsi="Arial" w:cs="Arial"/>
          <w:sz w:val="20"/>
          <w:szCs w:val="20"/>
        </w:rPr>
        <w:t xml:space="preserve">We will be closed for Statutory Holidays, and the Directors reserve the right to close at other times, with the maximum notice possible being given. </w:t>
      </w:r>
    </w:p>
    <w:p w14:paraId="38889DE3" w14:textId="77777777" w:rsidR="00170EE5" w:rsidRPr="0091146D" w:rsidRDefault="00170EE5">
      <w:pPr>
        <w:rPr>
          <w:rFonts w:ascii="Arial" w:hAnsi="Arial" w:cs="Arial"/>
          <w:sz w:val="20"/>
          <w:szCs w:val="20"/>
        </w:rPr>
      </w:pPr>
    </w:p>
    <w:p w14:paraId="6C1DE08F" w14:textId="77777777" w:rsidR="00AE0AB5" w:rsidRPr="0091146D" w:rsidRDefault="00AE0AB5">
      <w:pPr>
        <w:rPr>
          <w:rFonts w:ascii="Arial" w:hAnsi="Arial" w:cs="Arial"/>
          <w:sz w:val="20"/>
          <w:szCs w:val="20"/>
        </w:rPr>
      </w:pPr>
    </w:p>
    <w:p w14:paraId="0E3EF30C" w14:textId="77777777" w:rsidR="005F6B02" w:rsidRPr="005F6B02" w:rsidRDefault="005F6B02" w:rsidP="005F6B02">
      <w:pPr>
        <w:spacing w:line="360" w:lineRule="auto"/>
        <w:rPr>
          <w:rFonts w:ascii="Arial" w:hAnsi="Arial" w:cs="Arial"/>
          <w:b/>
          <w:color w:val="000000"/>
          <w:kern w:val="0"/>
          <w:sz w:val="20"/>
          <w:szCs w:val="20"/>
        </w:rPr>
      </w:pPr>
      <w:r w:rsidRPr="005F6B02">
        <w:rPr>
          <w:rFonts w:ascii="Arial" w:hAnsi="Arial" w:cs="Arial"/>
          <w:b/>
          <w:color w:val="000000"/>
          <w:kern w:val="0"/>
          <w:sz w:val="20"/>
          <w:szCs w:val="20"/>
        </w:rPr>
        <w:t>Persons responsible for implementing this policy:</w:t>
      </w:r>
    </w:p>
    <w:p w14:paraId="1FFECEB4" w14:textId="77777777" w:rsidR="005F6B02" w:rsidRPr="005F6B02" w:rsidRDefault="005F6B02" w:rsidP="005F6B02">
      <w:pPr>
        <w:numPr>
          <w:ilvl w:val="0"/>
          <w:numId w:val="3"/>
        </w:numPr>
        <w:tabs>
          <w:tab w:val="clear" w:pos="432"/>
          <w:tab w:val="num" w:pos="0"/>
        </w:tabs>
        <w:spacing w:line="360" w:lineRule="auto"/>
        <w:ind w:left="360" w:hanging="360"/>
        <w:rPr>
          <w:rFonts w:ascii="Arial" w:hAnsi="Arial" w:cs="Arial"/>
          <w:color w:val="000000"/>
          <w:kern w:val="0"/>
          <w:sz w:val="20"/>
          <w:szCs w:val="20"/>
        </w:rPr>
      </w:pPr>
      <w:r w:rsidRPr="005F6B02">
        <w:rPr>
          <w:rFonts w:ascii="Arial" w:hAnsi="Arial" w:cs="Arial"/>
          <w:color w:val="000000"/>
          <w:kern w:val="0"/>
          <w:sz w:val="20"/>
          <w:szCs w:val="20"/>
        </w:rPr>
        <w:t>Erica Dunwell/Heather Bishop /Rosalind Moreno– Newport</w:t>
      </w:r>
    </w:p>
    <w:p w14:paraId="0D4CA3D7" w14:textId="77777777" w:rsidR="005F6B02" w:rsidRPr="005F6B02" w:rsidRDefault="005F6B02" w:rsidP="005F6B02">
      <w:pPr>
        <w:numPr>
          <w:ilvl w:val="0"/>
          <w:numId w:val="3"/>
        </w:numPr>
        <w:tabs>
          <w:tab w:val="clear" w:pos="432"/>
          <w:tab w:val="num" w:pos="0"/>
        </w:tabs>
        <w:spacing w:line="360" w:lineRule="auto"/>
        <w:ind w:left="360" w:hanging="360"/>
        <w:rPr>
          <w:rFonts w:ascii="Arial" w:hAnsi="Arial" w:cs="Arial"/>
          <w:color w:val="000000"/>
          <w:kern w:val="0"/>
          <w:sz w:val="20"/>
          <w:szCs w:val="20"/>
        </w:rPr>
      </w:pPr>
      <w:r w:rsidRPr="005F6B02">
        <w:rPr>
          <w:rFonts w:ascii="Arial" w:hAnsi="Arial" w:cs="Arial"/>
          <w:color w:val="000000"/>
          <w:kern w:val="0"/>
          <w:sz w:val="20"/>
          <w:szCs w:val="20"/>
        </w:rPr>
        <w:t>Erica Dunwell/ Heather Bishop/Nicola McLaughlin – Sandown</w:t>
      </w:r>
    </w:p>
    <w:p w14:paraId="5036176B" w14:textId="77777777" w:rsidR="005F6B02" w:rsidRPr="005F6B02" w:rsidRDefault="005F6B02" w:rsidP="005F6B02">
      <w:pPr>
        <w:numPr>
          <w:ilvl w:val="0"/>
          <w:numId w:val="3"/>
        </w:numPr>
        <w:tabs>
          <w:tab w:val="clear" w:pos="432"/>
          <w:tab w:val="num" w:pos="0"/>
        </w:tabs>
        <w:spacing w:line="360" w:lineRule="auto"/>
        <w:ind w:left="360" w:hanging="360"/>
        <w:rPr>
          <w:rFonts w:ascii="Arial" w:hAnsi="Arial" w:cs="Arial"/>
          <w:color w:val="000000"/>
          <w:kern w:val="0"/>
          <w:sz w:val="20"/>
          <w:szCs w:val="20"/>
        </w:rPr>
      </w:pPr>
      <w:r w:rsidRPr="005F6B02">
        <w:rPr>
          <w:rFonts w:ascii="Arial" w:hAnsi="Arial" w:cs="Arial"/>
          <w:color w:val="000000"/>
          <w:kern w:val="0"/>
          <w:sz w:val="20"/>
          <w:szCs w:val="20"/>
        </w:rPr>
        <w:t>Erica Dunwell/Becky Kujabi – Wootton</w:t>
      </w:r>
    </w:p>
    <w:p w14:paraId="462D3312" w14:textId="77777777" w:rsidR="005F6B02" w:rsidRPr="005F6B02" w:rsidRDefault="005F6B02" w:rsidP="005F6B02">
      <w:pPr>
        <w:spacing w:line="360" w:lineRule="auto"/>
        <w:rPr>
          <w:rFonts w:ascii="Arial" w:hAnsi="Arial" w:cs="Arial"/>
          <w:b/>
          <w:color w:val="000000"/>
          <w:kern w:val="0"/>
          <w:sz w:val="20"/>
          <w:szCs w:val="20"/>
        </w:rPr>
      </w:pPr>
      <w:r w:rsidRPr="005F6B02">
        <w:rPr>
          <w:rFonts w:ascii="Arial" w:hAnsi="Arial" w:cs="Arial"/>
          <w:b/>
          <w:color w:val="000000"/>
          <w:kern w:val="0"/>
          <w:sz w:val="20"/>
          <w:szCs w:val="20"/>
        </w:rPr>
        <w:t>Review: August 2026</w:t>
      </w:r>
    </w:p>
    <w:p w14:paraId="14EB50E9" w14:textId="77777777" w:rsidR="00170EE5" w:rsidRPr="0091146D" w:rsidRDefault="00170EE5">
      <w:pPr>
        <w:rPr>
          <w:rFonts w:ascii="Arial" w:hAnsi="Arial" w:cs="Arial"/>
          <w:b/>
          <w:sz w:val="20"/>
          <w:szCs w:val="20"/>
        </w:rPr>
      </w:pPr>
    </w:p>
    <w:sectPr w:rsidR="00170EE5" w:rsidRPr="0091146D" w:rsidSect="002A0049">
      <w:footerReference w:type="default" r:id="rId7"/>
      <w:pgSz w:w="11906" w:h="16838"/>
      <w:pgMar w:top="1440" w:right="1800" w:bottom="1440" w:left="1800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82D37" w14:textId="77777777" w:rsidR="007E3E6A" w:rsidRDefault="007E3E6A">
      <w:r>
        <w:separator/>
      </w:r>
    </w:p>
  </w:endnote>
  <w:endnote w:type="continuationSeparator" w:id="0">
    <w:p w14:paraId="6B01D288" w14:textId="77777777" w:rsidR="007E3E6A" w:rsidRDefault="007E3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D8872" w14:textId="77777777" w:rsidR="00170EE5" w:rsidRDefault="00170EE5">
    <w:pPr>
      <w:pStyle w:val="Footer"/>
      <w:jc w:val="center"/>
      <w:rPr>
        <w:rFonts w:ascii="Comic Sans MS" w:hAnsi="Comic Sans M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E5151" w14:textId="77777777" w:rsidR="007E3E6A" w:rsidRDefault="007E3E6A">
      <w:r>
        <w:separator/>
      </w:r>
    </w:p>
  </w:footnote>
  <w:footnote w:type="continuationSeparator" w:id="0">
    <w:p w14:paraId="594D187E" w14:textId="77777777" w:rsidR="007E3E6A" w:rsidRDefault="007E3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4F81BD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59546028">
    <w:abstractNumId w:val="0"/>
  </w:num>
  <w:num w:numId="2" w16cid:durableId="653029631">
    <w:abstractNumId w:val="1"/>
  </w:num>
  <w:num w:numId="3" w16cid:durableId="990644611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B45"/>
    <w:rsid w:val="000312DE"/>
    <w:rsid w:val="00041269"/>
    <w:rsid w:val="000F21FE"/>
    <w:rsid w:val="00143763"/>
    <w:rsid w:val="00155D44"/>
    <w:rsid w:val="00170EE5"/>
    <w:rsid w:val="00193987"/>
    <w:rsid w:val="001C1B5F"/>
    <w:rsid w:val="002A0049"/>
    <w:rsid w:val="002B0C98"/>
    <w:rsid w:val="00474ECA"/>
    <w:rsid w:val="00587798"/>
    <w:rsid w:val="005F0C22"/>
    <w:rsid w:val="005F6B02"/>
    <w:rsid w:val="0060011D"/>
    <w:rsid w:val="0064691B"/>
    <w:rsid w:val="006A2308"/>
    <w:rsid w:val="006F6617"/>
    <w:rsid w:val="00777B45"/>
    <w:rsid w:val="0078481D"/>
    <w:rsid w:val="007B5827"/>
    <w:rsid w:val="007E2112"/>
    <w:rsid w:val="007E3E6A"/>
    <w:rsid w:val="007F4B13"/>
    <w:rsid w:val="0083272C"/>
    <w:rsid w:val="00877726"/>
    <w:rsid w:val="008F4DF7"/>
    <w:rsid w:val="0091146D"/>
    <w:rsid w:val="00A40524"/>
    <w:rsid w:val="00A55966"/>
    <w:rsid w:val="00AE0AB5"/>
    <w:rsid w:val="00AE7C2A"/>
    <w:rsid w:val="00B62F93"/>
    <w:rsid w:val="00B97E60"/>
    <w:rsid w:val="00BB0D74"/>
    <w:rsid w:val="00BC27E5"/>
    <w:rsid w:val="00BC4F92"/>
    <w:rsid w:val="00BE4B6E"/>
    <w:rsid w:val="00C227BB"/>
    <w:rsid w:val="00C83E15"/>
    <w:rsid w:val="00DA2391"/>
    <w:rsid w:val="00E51A40"/>
    <w:rsid w:val="00E64726"/>
    <w:rsid w:val="00F4514B"/>
    <w:rsid w:val="00FE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6CD2F27"/>
  <w15:docId w15:val="{110BD848-2E03-4779-8637-65E9C98F9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049"/>
    <w:pPr>
      <w:suppressAutoHyphens/>
    </w:pPr>
    <w:rPr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2A0049"/>
    <w:rPr>
      <w:rFonts w:ascii="Wingdings" w:hAnsi="Wingdings"/>
      <w:color w:val="4F81BD"/>
    </w:rPr>
  </w:style>
  <w:style w:type="character" w:customStyle="1" w:styleId="Absatz-Standardschriftart">
    <w:name w:val="Absatz-Standardschriftart"/>
    <w:rsid w:val="002A0049"/>
  </w:style>
  <w:style w:type="character" w:customStyle="1" w:styleId="WW8Num1z1">
    <w:name w:val="WW8Num1z1"/>
    <w:rsid w:val="002A0049"/>
    <w:rPr>
      <w:rFonts w:ascii="Courier New" w:hAnsi="Courier New" w:cs="Courier New"/>
    </w:rPr>
  </w:style>
  <w:style w:type="character" w:customStyle="1" w:styleId="WW8Num1z2">
    <w:name w:val="WW8Num1z2"/>
    <w:rsid w:val="002A0049"/>
    <w:rPr>
      <w:rFonts w:ascii="Wingdings" w:hAnsi="Wingdings"/>
    </w:rPr>
  </w:style>
  <w:style w:type="character" w:customStyle="1" w:styleId="WW8Num1z3">
    <w:name w:val="WW8Num1z3"/>
    <w:rsid w:val="002A0049"/>
    <w:rPr>
      <w:rFonts w:ascii="Symbol" w:hAnsi="Symbol"/>
    </w:rPr>
  </w:style>
  <w:style w:type="paragraph" w:customStyle="1" w:styleId="Heading">
    <w:name w:val="Heading"/>
    <w:basedOn w:val="Normal"/>
    <w:next w:val="BodyText"/>
    <w:rsid w:val="002A0049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rsid w:val="002A0049"/>
    <w:pPr>
      <w:spacing w:after="120"/>
    </w:pPr>
  </w:style>
  <w:style w:type="paragraph" w:styleId="List">
    <w:name w:val="List"/>
    <w:basedOn w:val="BodyText"/>
    <w:rsid w:val="002A0049"/>
    <w:rPr>
      <w:rFonts w:cs="Tahoma"/>
    </w:rPr>
  </w:style>
  <w:style w:type="paragraph" w:styleId="Caption">
    <w:name w:val="caption"/>
    <w:basedOn w:val="Normal"/>
    <w:qFormat/>
    <w:rsid w:val="002A0049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2A0049"/>
    <w:pPr>
      <w:suppressLineNumbers/>
    </w:pPr>
    <w:rPr>
      <w:rFonts w:cs="Tahoma"/>
    </w:rPr>
  </w:style>
  <w:style w:type="paragraph" w:styleId="Header">
    <w:name w:val="header"/>
    <w:basedOn w:val="Normal"/>
    <w:rsid w:val="002A004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A004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2A00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2A004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9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Policy was adopted at a meeting of Little Herons Childcare in December 2008</vt:lpstr>
    </vt:vector>
  </TitlesOfParts>
  <Company>Hewlett-Packard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Policy was adopted at a meeting of Little Herons Childcare in December 2008</dc:title>
  <dc:creator>lynnete</dc:creator>
  <cp:lastModifiedBy>Erica Dunwell</cp:lastModifiedBy>
  <cp:revision>6</cp:revision>
  <cp:lastPrinted>2019-09-10T08:22:00Z</cp:lastPrinted>
  <dcterms:created xsi:type="dcterms:W3CDTF">2023-08-08T09:28:00Z</dcterms:created>
  <dcterms:modified xsi:type="dcterms:W3CDTF">2025-08-21T10:30:00Z</dcterms:modified>
</cp:coreProperties>
</file>